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160"/>
      </w:pPr>
      <w:r>
        <w:rPr>
          <w:b/>
          <w:bCs/>
          <w:color w:val="A94E1B"/>
          <w:spacing w:val="18"/>
          <w:sz w:val="19"/>
          <w:szCs w:val="19"/>
        </w:rPr>
        <w:t xml:space="preserve">Evidence Locker / Risk interpretation</w:t>
      </w:r>
    </w:p>
    <w:p>
      <w:pPr>
        <w:keepNext/>
        <w:spacing w:after="220" w:line="480"/>
      </w:pPr>
      <w:r>
        <w:rPr>
          <w:b/>
          <w:bCs/>
          <w:color w:val="183044"/>
          <w:sz w:val="38"/>
          <w:szCs w:val="38"/>
        </w:rPr>
        <w:t xml:space="preserve">Signal Validation &amp; Action Log</w:t>
      </w:r>
    </w:p>
    <w:p>
      <w:pPr>
        <w:spacing w:after="240" w:line="310"/>
      </w:pPr>
      <w:r>
        <w:rPr>
          <w:color w:val="52616C"/>
          <w:sz w:val="25"/>
          <w:szCs w:val="25"/>
        </w:rPr>
        <w:t xml:space="preserve">Separate an observation from a diagnosis, then turn the investigation into a next action.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When to use it</w:t>
      </w:r>
    </w:p>
    <w:p>
      <w:pPr>
        <w:spacing w:after="140" w:line="280"/>
      </w:pPr>
      <w:r>
        <w:t xml:space="preserve">Use before escalating a health-score change or treating an activity metric as evidence of value.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Work the questions in order</w:t>
      </w:r>
    </w:p>
    <w:p>
      <w:pPr>
        <w:spacing w:after="130" w:line="280"/>
      </w:pPr>
      <w:r>
        <w:t xml:space="preserve">1.  Record exactly what changed and how the signal was generated.</w:t>
      </w:r>
    </w:p>
    <w:p>
      <w:pPr>
        <w:spacing w:after="130" w:line="280"/>
      </w:pPr>
      <w:r>
        <w:t xml:space="preserve">2.  Write down at least one alternative explanation and seek corroborating customer context.</w:t>
      </w:r>
    </w:p>
    <w:p>
      <w:pPr>
        <w:spacing w:after="130" w:line="280"/>
      </w:pPr>
      <w:r>
        <w:t xml:space="preserve">3.  Choose the next useful action, assign an owner, and record what would change your assessment.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Fictional worked example</w:t>
      </w:r>
    </w:p>
    <w:p>
      <w:pPr>
        <w:shd w:fill="F1F4F5"/>
        <w:spacing w:after="180" w:before="70" w:line="290"/>
      </w:pPr>
      <w:r>
        <w:t xml:space="preserve">Customer logins decline, but an automated report still supports a weekly planning meeting. Confirm that the intended recipients receive and use the report before deciding whether the account is disengaged.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A note on judgment</w:t>
      </w:r>
    </w:p>
    <w:p>
      <w:pPr>
        <w:spacing w:after="140" w:line="280"/>
      </w:pPr>
      <w:r>
        <w:t xml:space="preserve">This is a reasoning worksheet, not a validated predictive model. Do not turn its fields into universal risk weights without testing them in your own context.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Open the related case</w:t>
      </w:r>
    </w:p>
    <w:p>
      <w:pPr>
        <w:spacing w:after="130"/>
      </w:pPr>
      <w:hyperlink w:history="1" r:id="rIdjh9vzclbmsvd5ls6l7rc7">
        <w:r>
          <w:rPr>
            <w:color w:val="A94E1B"/>
            <w:u w:val="single"/>
          </w:rPr>
          <w:t xml:space="preserve">The Metric That Lied</w:t>
        </w:r>
      </w:hyperlink>
    </w:p>
    <w:p>
      <w:pPr>
        <w:spacing w:after="140" w:line="280"/>
      </w:pPr>
      <w:r>
        <w:rPr>
          <w:color w:val="52616C"/>
          <w:sz w:val="19"/>
          <w:szCs w:val="19"/>
        </w:rPr>
        <w:t xml:space="preserve">Newly created educational template, not a former-employer document or a validated scoring model. Adapt it to your context. Keep confidential information out of shared copies.</w:t>
      </w:r>
    </w:p>
    <w:p>
      <w:pPr>
        <w:keepNext/>
        <w:pageBreakBefore/>
        <w:spacing w:after="220" w:line="480"/>
      </w:pPr>
      <w:r>
        <w:rPr>
          <w:b/>
          <w:bCs/>
          <w:color w:val="183044"/>
          <w:sz w:val="38"/>
          <w:szCs w:val="38"/>
        </w:rPr>
        <w:t xml:space="preserve">Your working notes</w:t>
      </w:r>
    </w:p>
    <w:p>
      <w:pPr>
        <w:keepNext/>
        <w:spacing w:after="160"/>
      </w:pPr>
      <w:r>
        <w:rPr>
          <w:b/>
          <w:bCs/>
          <w:color w:val="A94E1B"/>
          <w:spacing w:val="18"/>
          <w:sz w:val="19"/>
          <w:szCs w:val="19"/>
        </w:rPr>
        <w:t xml:space="preserve">Signal Validation &amp; Action Log / Part 1 of 2</w:t>
      </w:r>
    </w:p>
    <w:p>
      <w:pPr>
        <w:spacing w:after="140" w:line="280"/>
      </w:pPr>
      <w:r>
        <w:t xml:space="preserve">Context or anonymized account: __________________________________</w:t>
      </w:r>
    </w:p>
    <w:p>
      <w:pPr>
        <w:spacing w:after="140" w:line="280"/>
      </w:pPr>
      <w:r>
        <w:t xml:space="preserve">Date: __________________    Review date: __________________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01  Observed signal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What changed? Include the source, date, and measurement window.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02  How it is produced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Whose actions count? Could automation, internal access, missing data, or a changed definition affect it?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03  Initial hypothesis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What might it mean for the customer? Keep this separate from fact.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04  Alternative explanation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What else could produce the same signal?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pageBreakBefore/>
        <w:spacing w:after="220" w:line="480"/>
      </w:pPr>
      <w:r>
        <w:rPr>
          <w:b/>
          <w:bCs/>
          <w:color w:val="183044"/>
          <w:sz w:val="38"/>
          <w:szCs w:val="38"/>
        </w:rPr>
        <w:t xml:space="preserve">From clues to action</w:t>
      </w:r>
    </w:p>
    <w:p>
      <w:pPr>
        <w:keepNext/>
        <w:spacing w:after="160"/>
      </w:pPr>
      <w:r>
        <w:rPr>
          <w:b/>
          <w:bCs/>
          <w:color w:val="A94E1B"/>
          <w:spacing w:val="18"/>
          <w:sz w:val="19"/>
          <w:szCs w:val="19"/>
        </w:rPr>
        <w:t xml:space="preserve">Signal Validation &amp; Action Log / Part 2 of 2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05  Corroborating evidence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What does the customer say? What other evidence agrees or conflicts?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06  Assessment and uncertainty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What do you currently believe, and what is still unknown?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07  Action, owner, review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What happens next, who owns it, and when will the assessment be revisited?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Before you close the file</w:t>
      </w:r>
    </w:p>
    <w:p>
      <w:pPr>
        <w:spacing w:after="140" w:line="280"/>
      </w:pPr>
      <w:r>
        <w:rPr>
          <w:color w:val="52616C"/>
          <w:sz w:val="21"/>
          <w:szCs w:val="21"/>
        </w:rPr>
        <w:t xml:space="preserve">Check what is known, what is assumed, and what still needs confirmation. Agree on the next action and the review point. A completed worksheet is not a solved case.</w:t>
      </w:r>
    </w:p>
    <w:sectPr>
      <w:headerReference w:type="default" r:id="rId7"/>
      <w:footerReference w:type="default" r:id="rId8"/>
      <w:pgSz w:w="12240" w:h="15840" w:orient="portrait"/>
      <w:pgMar w:top="1000" w:right="1050" w:bottom="1000" w:left="105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hyperlink w:history="1" r:id="rIdw7pnhe_txo68sie9zpjyn">
      <w:r>
        <w:rPr>
          <w:color w:val="52616C"/>
          <w:sz w:val="18"/>
          <w:szCs w:val="18"/>
        </w:rPr>
        <w:t xml:space="preserve">ruffjusticehq.com</w:t>
      </w:r>
    </w:hyperlink>
    <w:r>
      <w:rPr>
        <w:color w:val="52616C"/>
        <w:sz w:val="18"/>
        <w:szCs w:val="18"/>
      </w:rPr>
      <w:t xml:space="preserve">   •   FIELD TOOL   •   </w:t>
    </w:r>
    <w:r>
      <w:rPr>
        <w:color w:val="52616C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52616C"/>
        <w:sz w:val="18"/>
        <w:szCs w:val="18"/>
      </w:rPr>
      <w:t xml:space="preserve"> / </w:t>
    </w:r>
    <w:r>
      <w:rPr>
        <w:color w:val="52616C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94E1B" w:sz="12" w:space="8"/>
      </w:pBdr>
      <w:spacing w:after="140" w:line="280"/>
    </w:pPr>
    <w:r>
      <w:rPr>
        <w:b/>
        <w:bCs/>
        <w:color w:val="183044"/>
        <w:sz w:val="20"/>
        <w:szCs w:val="20"/>
      </w:rPr>
      <w:t xml:space="preserve">RUFF JUSTICE</w:t>
    </w:r>
    <w:r>
      <w:rPr>
        <w:color w:val="52616C"/>
        <w:sz w:val="17"/>
        <w:szCs w:val="17"/>
      </w:rPr>
      <w:t xml:space="preserve">  /  CUSTOMER SUCCESS, INVESTIGATED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83044"/>
        <w:sz w:val="22"/>
        <w:szCs w:val="22"/>
      </w:rPr>
    </w:rPrDefault>
    <w:pPrDefault>
      <w:pPr>
        <w:spacing w:after="140"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jh9vzclbmsvd5ls6l7rc7" Type="http://schemas.openxmlformats.org/officeDocument/2006/relationships/hyperlink" Target="https://www.ruffjusticehq.com/case-metric-that-lied.html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pnhe_txo68sie9zpjyn" Type="http://schemas.openxmlformats.org/officeDocument/2006/relationships/hyperlink" Target="https://www.ruffjusticehq.com/evidence-locker.html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Ruff Justice | Signal Validation &amp; Action Log</dc:title>
  <dc:subject>Customer Success educational worksheet</dc:subject>
  <dc:creator>Perplexity Computer</dc:creator>
  <dc:description>Separate an observation from a diagnosis, then turn the investigation into a next action.</dc:description>
  <cp:lastModifiedBy>Un-named</cp:lastModifiedBy>
  <cp:revision>1</cp:revision>
  <dcterms:created xsi:type="dcterms:W3CDTF">2026-09-24T23:19:22.153Z</dcterms:created>
  <dcterms:modified xsi:type="dcterms:W3CDTF">2026-09-24T23:19:22.153Z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